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308714</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8.14.4.5</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[1] around the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Malgun Gothic"/>
                <w:b/>
                <w:sz w:val="21"/>
                <w:szCs w:val="21"/>
                <w:u w:val="single"/>
                <w:lang w:eastAsia="ko-KR"/>
              </w:rPr>
            </w:pPr>
            <w:bookmarkStart w:id="0" w:name="_Hlk133265301"/>
            <w:r>
              <w:rPr>
                <w:b/>
                <w:sz w:val="21"/>
                <w:szCs w:val="21"/>
                <w:u w:val="single"/>
                <w:lang w:eastAsia="ko-KR"/>
              </w:rPr>
              <w:t xml:space="preserve">Issue 5-4: </w:t>
            </w:r>
            <w:r>
              <w:rPr>
                <w:rFonts w:eastAsia="Malgun Gothic"/>
                <w:b/>
                <w:sz w:val="21"/>
                <w:szCs w:val="21"/>
                <w:u w:val="single"/>
                <w:lang w:eastAsia="ko-KR"/>
              </w:rPr>
              <w:t>Pre-configured measurement gap</w:t>
            </w:r>
          </w:p>
          <w:p>
            <w:pPr>
              <w:rPr>
                <w:rFonts w:eastAsiaTheme="minorEastAsia"/>
                <w:b/>
                <w:sz w:val="21"/>
                <w:szCs w:val="21"/>
              </w:rPr>
            </w:pPr>
            <w:r>
              <w:rPr>
                <w:rFonts w:hint="eastAsia" w:eastAsiaTheme="minorEastAsia"/>
                <w:b/>
                <w:sz w:val="21"/>
                <w:szCs w:val="21"/>
                <w:highlight w:val="green"/>
              </w:rPr>
              <w:t>A</w:t>
            </w:r>
            <w:r>
              <w:rPr>
                <w:rFonts w:eastAsiaTheme="minorEastAsia"/>
                <w:b/>
                <w:sz w:val="21"/>
                <w:szCs w:val="21"/>
                <w:highlight w:val="green"/>
              </w:rPr>
              <w:t>greements</w:t>
            </w:r>
            <w:r>
              <w:rPr>
                <w:rFonts w:eastAsiaTheme="minorEastAsia"/>
                <w:b/>
                <w:sz w:val="21"/>
                <w:szCs w:val="21"/>
              </w:rPr>
              <w:t>:</w:t>
            </w:r>
          </w:p>
          <w:p>
            <w:pPr>
              <w:pStyle w:val="28"/>
              <w:numPr>
                <w:ilvl w:val="0"/>
                <w:numId w:val="4"/>
              </w:numPr>
              <w:autoSpaceDN w:val="0"/>
              <w:spacing w:after="120"/>
              <w:ind w:firstLineChars="0"/>
              <w:rPr>
                <w:rFonts w:eastAsia="宋体"/>
                <w:sz w:val="21"/>
                <w:szCs w:val="21"/>
                <w:lang w:val="en-GB"/>
              </w:rPr>
            </w:pPr>
            <w:r>
              <w:rPr>
                <w:rFonts w:hint="eastAsia" w:eastAsia="宋体"/>
                <w:sz w:val="21"/>
                <w:szCs w:val="21"/>
                <w:lang w:val="en-GB"/>
              </w:rPr>
              <w:t>D</w:t>
            </w:r>
            <w:r>
              <w:rPr>
                <w:rFonts w:eastAsia="宋体"/>
                <w:sz w:val="21"/>
                <w:szCs w:val="21"/>
                <w:lang w:val="en-GB"/>
              </w:rPr>
              <w:t>o not introduce specific enhancements for the pre-configured measurement gap for R18 ATG</w:t>
            </w:r>
          </w:p>
          <w:p>
            <w:pPr>
              <w:pStyle w:val="28"/>
              <w:keepNext w:val="0"/>
              <w:keepLines w:val="0"/>
              <w:pageBreakBefore w:val="0"/>
              <w:numPr>
                <w:ilvl w:val="0"/>
                <w:numId w:val="0"/>
              </w:numPr>
              <w:kinsoku/>
              <w:wordWrap/>
              <w:overflowPunct/>
              <w:topLinePunct w:val="0"/>
              <w:autoSpaceDE/>
              <w:autoSpaceDN/>
              <w:bidi w:val="0"/>
              <w:adjustRightInd/>
              <w:snapToGrid/>
              <w:ind w:left="156" w:leftChars="0"/>
              <w:textAlignment w:val="auto"/>
              <w:rPr>
                <w:rFonts w:hint="eastAsia" w:eastAsia="宋体"/>
                <w:color w:val="auto"/>
                <w:sz w:val="20"/>
                <w:szCs w:val="20"/>
                <w:vertAlign w:val="baseline"/>
                <w:lang w:val="en-US" w:eastAsia="zh-CN"/>
              </w:rPr>
            </w:pPr>
            <w:r>
              <w:rPr>
                <w:bCs/>
                <w:sz w:val="21"/>
                <w:szCs w:val="21"/>
              </w:rPr>
              <w:t>Note: It is a common understanding that the existing pre-configured MG mechanism can be used for Rel-18 ATG.</w:t>
            </w:r>
            <w:bookmarkEnd w:id="0"/>
            <w:r>
              <w:rPr>
                <w:rFonts w:hint="eastAsia" w:eastAsia="宋体"/>
                <w:bCs/>
                <w:sz w:val="21"/>
                <w:szCs w:val="21"/>
                <w:lang w:val="en-US" w:eastAsia="zh-CN"/>
              </w:rPr>
              <w:t xml:space="preserve"> </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Except for the above conclusions, still multiple issues are suspending. In this document, we will provide some further analysis on the suspending issues around the measurement requirements of ATG. We discuss the following issues in this contribution.</w:t>
      </w:r>
    </w:p>
    <w:p>
      <w:pPr>
        <w:pStyle w:val="4"/>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Measurement mechanism</w:t>
      </w:r>
    </w:p>
    <w:p>
      <w:pPr>
        <w:pStyle w:val="4"/>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Measurement requirements</w:t>
      </w:r>
    </w:p>
    <w:p>
      <w:pPr>
        <w:pStyle w:val="4"/>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Scheduling restriction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Measurement mechanism</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Regarding to measurement mechanism, the following options were proposed in last meeting and captured into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autoSpaceDN w:val="0"/>
              <w:spacing w:after="120"/>
              <w:ind w:firstLineChars="0"/>
              <w:rPr>
                <w:rFonts w:eastAsia="宋体"/>
                <w:sz w:val="21"/>
                <w:szCs w:val="21"/>
                <w:lang w:val="en-GB"/>
              </w:rPr>
            </w:pPr>
            <w:r>
              <w:rPr>
                <w:rFonts w:eastAsia="宋体"/>
                <w:sz w:val="21"/>
                <w:szCs w:val="21"/>
              </w:rPr>
              <w:t>Option 1:</w:t>
            </w:r>
          </w:p>
          <w:p>
            <w:pPr>
              <w:pStyle w:val="28"/>
              <w:numPr>
                <w:ilvl w:val="1"/>
                <w:numId w:val="4"/>
              </w:numPr>
              <w:autoSpaceDN w:val="0"/>
              <w:spacing w:after="120"/>
              <w:ind w:firstLineChars="0"/>
              <w:rPr>
                <w:rFonts w:eastAsia="宋体"/>
                <w:sz w:val="21"/>
                <w:szCs w:val="21"/>
              </w:rPr>
            </w:pPr>
            <w:r>
              <w:rPr>
                <w:rFonts w:eastAsia="宋体"/>
                <w:sz w:val="21"/>
                <w:szCs w:val="21"/>
              </w:rPr>
              <w:t>If ATG UE altitude higher than certain threshold, ATG UE perform measurement and measurement report</w:t>
            </w:r>
          </w:p>
          <w:p>
            <w:pPr>
              <w:pStyle w:val="28"/>
              <w:numPr>
                <w:ilvl w:val="1"/>
                <w:numId w:val="4"/>
              </w:numPr>
              <w:autoSpaceDN w:val="0"/>
              <w:spacing w:after="120"/>
              <w:ind w:firstLineChars="0"/>
              <w:rPr>
                <w:rFonts w:eastAsia="宋体"/>
                <w:sz w:val="21"/>
                <w:szCs w:val="21"/>
              </w:rPr>
            </w:pPr>
            <w:r>
              <w:rPr>
                <w:rFonts w:eastAsia="宋体"/>
                <w:sz w:val="21"/>
                <w:szCs w:val="21"/>
              </w:rPr>
              <w:t>If ATG UE altitude lower than certain threshold, ATG UE may not perform measurement and/or does not perform measurement report</w:t>
            </w:r>
          </w:p>
          <w:p>
            <w:pPr>
              <w:pStyle w:val="28"/>
              <w:numPr>
                <w:ilvl w:val="0"/>
                <w:numId w:val="4"/>
              </w:numPr>
              <w:autoSpaceDN w:val="0"/>
              <w:spacing w:after="120"/>
              <w:ind w:firstLineChars="0"/>
              <w:rPr>
                <w:rFonts w:eastAsia="宋体"/>
                <w:sz w:val="21"/>
                <w:szCs w:val="21"/>
              </w:rPr>
            </w:pPr>
            <w:r>
              <w:rPr>
                <w:sz w:val="21"/>
                <w:szCs w:val="21"/>
              </w:rPr>
              <w:t xml:space="preserve">Option </w:t>
            </w:r>
            <w:r>
              <w:rPr>
                <w:rFonts w:hint="eastAsia" w:asciiTheme="minorEastAsia" w:hAnsiTheme="minorEastAsia" w:eastAsiaTheme="minorEastAsia"/>
                <w:sz w:val="21"/>
                <w:szCs w:val="21"/>
              </w:rPr>
              <w:t>2</w:t>
            </w:r>
            <w:r>
              <w:rPr>
                <w:sz w:val="21"/>
                <w:szCs w:val="21"/>
              </w:rPr>
              <w:t>: Wait for the progress in RAN2 for the height-dependent configuration for measurements in connected mode for reusing the framework in ATG.</w:t>
            </w:r>
          </w:p>
          <w:p>
            <w:pPr>
              <w:pStyle w:val="28"/>
              <w:numPr>
                <w:ilvl w:val="0"/>
                <w:numId w:val="4"/>
              </w:numPr>
              <w:autoSpaceDN w:val="0"/>
              <w:spacing w:after="120"/>
              <w:ind w:firstLineChars="0"/>
              <w:rPr>
                <w:rFonts w:eastAsia="宋体"/>
                <w:sz w:val="21"/>
                <w:szCs w:val="21"/>
              </w:rPr>
            </w:pPr>
            <w:r>
              <w:rPr>
                <w:rFonts w:eastAsia="宋体"/>
                <w:sz w:val="21"/>
                <w:szCs w:val="21"/>
              </w:rPr>
              <w:t xml:space="preserve">Option </w:t>
            </w:r>
            <w:r>
              <w:rPr>
                <w:rFonts w:hint="eastAsia" w:eastAsia="宋体"/>
                <w:sz w:val="21"/>
                <w:szCs w:val="21"/>
              </w:rPr>
              <w:t>3</w:t>
            </w:r>
            <w:r>
              <w:rPr>
                <w:rFonts w:eastAsia="宋体"/>
                <w:sz w:val="21"/>
                <w:szCs w:val="21"/>
              </w:rPr>
              <w:t xml:space="preserve">: </w:t>
            </w:r>
            <w:r>
              <w:rPr>
                <w:sz w:val="21"/>
                <w:szCs w:val="21"/>
              </w:rPr>
              <w:t xml:space="preserve">Do not introduce height-dependent requirements for measurement procedures for ATG UES </w:t>
            </w:r>
          </w:p>
          <w:p>
            <w:pPr>
              <w:pStyle w:val="28"/>
              <w:numPr>
                <w:ilvl w:val="1"/>
                <w:numId w:val="4"/>
              </w:numPr>
              <w:autoSpaceDN w:val="0"/>
              <w:spacing w:after="120"/>
              <w:ind w:firstLineChars="0"/>
              <w:rPr>
                <w:rFonts w:eastAsia="宋体"/>
                <w:sz w:val="21"/>
                <w:szCs w:val="21"/>
              </w:rPr>
            </w:pPr>
            <w:r>
              <w:rPr>
                <w:rFonts w:eastAsiaTheme="minorEastAsia"/>
                <w:sz w:val="21"/>
                <w:szCs w:val="21"/>
              </w:rPr>
              <w:t>Option 4-1: All requirements are applicable for the ATG CPE which is not lower than 3km</w:t>
            </w:r>
          </w:p>
          <w:p>
            <w:pPr>
              <w:pStyle w:val="28"/>
              <w:numPr>
                <w:ilvl w:val="0"/>
                <w:numId w:val="4"/>
              </w:numPr>
              <w:autoSpaceDN w:val="0"/>
              <w:spacing w:after="120"/>
              <w:ind w:firstLineChars="0"/>
              <w:rPr>
                <w:rFonts w:hint="default" w:eastAsia="宋体"/>
                <w:color w:val="auto"/>
                <w:sz w:val="20"/>
                <w:szCs w:val="20"/>
                <w:vertAlign w:val="baseline"/>
                <w:lang w:val="en-US" w:eastAsia="zh-CN"/>
              </w:rPr>
            </w:pPr>
            <w:r>
              <w:rPr>
                <w:rFonts w:eastAsiaTheme="minorEastAsia"/>
                <w:sz w:val="21"/>
                <w:szCs w:val="21"/>
              </w:rPr>
              <w:t xml:space="preserve">Option </w:t>
            </w:r>
            <w:r>
              <w:rPr>
                <w:rFonts w:hint="eastAsia" w:eastAsiaTheme="minorEastAsia"/>
                <w:sz w:val="21"/>
                <w:szCs w:val="21"/>
              </w:rPr>
              <w:t>4</w:t>
            </w:r>
            <w:r>
              <w:rPr>
                <w:rFonts w:eastAsiaTheme="minorEastAsia"/>
                <w:sz w:val="21"/>
                <w:szCs w:val="21"/>
              </w:rPr>
              <w:t xml:space="preserve">: De-prioritize new measurement mechanism </w:t>
            </w:r>
          </w:p>
        </w:tc>
      </w:tr>
    </w:tbl>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 xml:space="preserve">To our understanding, the motivation of Option 1 is to avoid some RRM measurements in both IDLE/INACTIVE and CONNECTED modes when the aircraft stays in the airport or the aircraft takes off/lands. Under such case, no mobility measurement is necessary. We agree with such view, but regarding to the measurement mechanism, no need to introduce any additional clarification since it is already approved in the co-existence discussion that the aircraft altitude to derive cell coverage is 3km. Furthermore, as outlined in </w:t>
      </w:r>
      <w:r>
        <w:rPr>
          <w:rFonts w:hint="eastAsia" w:eastAsia="宋体"/>
          <w:color w:val="auto"/>
          <w:sz w:val="20"/>
          <w:szCs w:val="20"/>
          <w:highlight w:val="none"/>
          <w:lang w:val="en-US" w:eastAsia="zh-CN"/>
        </w:rPr>
        <w:t>[3], most airlines offering in-flight WiFi currently activate the WiFi when the aircraft is at a height of 10,000 feet(</w:t>
      </w:r>
      <w:r>
        <w:rPr>
          <w:szCs w:val="22"/>
        </w:rPr>
        <w:t>3,048 meter</w:t>
      </w:r>
      <w:r>
        <w:rPr>
          <w:rFonts w:hint="eastAsia" w:eastAsia="宋体"/>
          <w:color w:val="auto"/>
          <w:sz w:val="20"/>
          <w:szCs w:val="20"/>
          <w:highlight w:val="none"/>
          <w:lang w:val="en-US" w:eastAsia="zh-CN"/>
        </w:rPr>
        <w:t>) or higher. This can also be verified in FAA regulation [4], the passengers PED(Portable Electronic Devices) in the airplane is only provided WiFi with the altitude bound of 10,000 feet.</w:t>
      </w:r>
      <w:r>
        <w:rPr>
          <w:rFonts w:hint="eastAsia" w:eastAsia="宋体"/>
          <w:color w:val="auto"/>
          <w:sz w:val="20"/>
          <w:szCs w:val="20"/>
          <w:lang w:val="en-US" w:eastAsia="zh-CN"/>
        </w:rPr>
        <w:t xml:space="preserve"> So it can be seen that the ATG CPE would work when the altitude is not lower than 3km. As a result, all requirements are applicable for the ATG CPE which is not lower than 3km. Based on such assumption, no need to consider any additional measurement mechanism such as Option 1 above.</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1: Based on some regulation demand and airline offering, the in-flight WiFi currently is activated when the aircraft travels at the altitudes more than 3048 meters in practice. </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Considering in practice the in-flight WiFi is operated from 3048 meters upwards, the ATG CPE works when the altitude is not lower than 3000m. Therefore, no need to introduce any new measurement mechanism such as height-dependent considerations.</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Measurement requirements</w:t>
      </w:r>
    </w:p>
    <w:p>
      <w:pPr>
        <w:pStyle w:val="4"/>
        <w:numPr>
          <w:ilvl w:val="0"/>
          <w:numId w:val="0"/>
        </w:numPr>
        <w:ind w:leftChars="0"/>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last meeting, the following option was proposed by some company: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4"/>
              </w:numPr>
              <w:autoSpaceDN w:val="0"/>
              <w:spacing w:after="120"/>
              <w:ind w:firstLineChars="0"/>
              <w:rPr>
                <w:rFonts w:hint="default" w:eastAsia="宋体"/>
                <w:color w:val="auto"/>
                <w:sz w:val="20"/>
                <w:szCs w:val="20"/>
                <w:highlight w:val="none"/>
                <w:vertAlign w:val="baseline"/>
                <w:lang w:val="en-US" w:eastAsia="zh-CN"/>
              </w:rPr>
            </w:pPr>
            <w:r>
              <w:rPr>
                <w:rFonts w:eastAsia="宋体"/>
                <w:sz w:val="21"/>
                <w:szCs w:val="21"/>
              </w:rPr>
              <w:t xml:space="preserve">Option 1: </w:t>
            </w:r>
            <w:r>
              <w:rPr>
                <w:rFonts w:eastAsia="Yu Mincho"/>
                <w:sz w:val="21"/>
                <w:szCs w:val="21"/>
              </w:rPr>
              <w:t>Further discuss whether the assumption of a directional antenna affects the measurement requirements.</w:t>
            </w:r>
          </w:p>
        </w:tc>
      </w:tr>
    </w:tbl>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Even the ATG is deployed in FR1, for the sake of the coverage, directional antenna is assumed in co-existence study. However from the perspective of RRM impact, we can not see any RRM impact by the BS antenna assumption. For the possible black hole right above the BS antenna, in fact the CPE still can be served by the adjacent BS through adjusting the antenna tilt. Beside, with some BS antenna optimization solution, the possible black hole can be covered by the current BS. So no need to consider any RRM acpect lead by the directional antenna.</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need to consider any RRM aspect lead by the directional antenna.</w:t>
      </w: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Scheduling restriction</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following options were kept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4"/>
              </w:numPr>
              <w:autoSpaceDN w:val="0"/>
              <w:spacing w:after="120"/>
              <w:ind w:firstLineChars="0"/>
              <w:rPr>
                <w:rFonts w:eastAsia="宋体"/>
                <w:sz w:val="21"/>
                <w:szCs w:val="21"/>
                <w:lang w:val="en-GB"/>
              </w:rPr>
            </w:pPr>
            <w:r>
              <w:rPr>
                <w:rFonts w:eastAsia="宋体"/>
                <w:sz w:val="21"/>
                <w:szCs w:val="21"/>
              </w:rPr>
              <w:t>Option 1:</w:t>
            </w:r>
          </w:p>
          <w:p>
            <w:pPr>
              <w:pStyle w:val="28"/>
              <w:numPr>
                <w:ilvl w:val="1"/>
                <w:numId w:val="4"/>
              </w:numPr>
              <w:autoSpaceDN w:val="0"/>
              <w:spacing w:after="120"/>
              <w:ind w:firstLineChars="0"/>
              <w:rPr>
                <w:rFonts w:eastAsia="宋体"/>
                <w:sz w:val="21"/>
                <w:szCs w:val="21"/>
              </w:rPr>
            </w:pPr>
            <w:r>
              <w:rPr>
                <w:rFonts w:eastAsia="宋体"/>
                <w:sz w:val="21"/>
                <w:szCs w:val="21"/>
              </w:rPr>
              <w:t xml:space="preserve">The legacy scheduling restriction requirement can be reused for ATG. </w:t>
            </w:r>
          </w:p>
          <w:p>
            <w:pPr>
              <w:pStyle w:val="28"/>
              <w:numPr>
                <w:ilvl w:val="2"/>
                <w:numId w:val="4"/>
              </w:numPr>
              <w:autoSpaceDN w:val="0"/>
              <w:spacing w:after="120"/>
              <w:ind w:firstLineChars="0"/>
              <w:rPr>
                <w:rFonts w:eastAsia="宋体"/>
                <w:sz w:val="21"/>
                <w:szCs w:val="21"/>
              </w:rPr>
            </w:pPr>
            <w:r>
              <w:rPr>
                <w:rFonts w:eastAsia="宋体"/>
                <w:sz w:val="21"/>
                <w:szCs w:val="21"/>
              </w:rPr>
              <w:t>When it is enabled, the restriction is on SSB symbols and 1 data symbol before and after.</w:t>
            </w:r>
          </w:p>
          <w:p>
            <w:pPr>
              <w:pStyle w:val="28"/>
              <w:numPr>
                <w:ilvl w:val="2"/>
                <w:numId w:val="4"/>
              </w:numPr>
              <w:autoSpaceDN w:val="0"/>
              <w:spacing w:after="120"/>
              <w:ind w:firstLineChars="0"/>
              <w:rPr>
                <w:rFonts w:eastAsia="宋体"/>
                <w:sz w:val="21"/>
                <w:szCs w:val="21"/>
              </w:rPr>
            </w:pPr>
            <w:r>
              <w:rPr>
                <w:rFonts w:eastAsia="宋体"/>
                <w:sz w:val="21"/>
                <w:szCs w:val="21"/>
              </w:rPr>
              <w:t>When it is disabled, the restriction is on all symbols in SMTC.</w:t>
            </w:r>
          </w:p>
          <w:p>
            <w:pPr>
              <w:pStyle w:val="28"/>
              <w:numPr>
                <w:ilvl w:val="0"/>
                <w:numId w:val="4"/>
              </w:numPr>
              <w:autoSpaceDN w:val="0"/>
              <w:spacing w:after="120"/>
              <w:ind w:firstLineChars="0"/>
              <w:rPr>
                <w:rFonts w:eastAsia="宋体"/>
                <w:sz w:val="21"/>
                <w:szCs w:val="21"/>
              </w:rPr>
            </w:pPr>
            <w:r>
              <w:rPr>
                <w:rFonts w:eastAsia="宋体"/>
                <w:sz w:val="21"/>
                <w:szCs w:val="21"/>
              </w:rPr>
              <w:t>Option 2:</w:t>
            </w:r>
          </w:p>
          <w:p>
            <w:pPr>
              <w:pStyle w:val="28"/>
              <w:numPr>
                <w:ilvl w:val="1"/>
                <w:numId w:val="4"/>
              </w:numPr>
              <w:autoSpaceDN w:val="0"/>
              <w:spacing w:after="120"/>
              <w:ind w:firstLineChars="0"/>
              <w:rPr>
                <w:rFonts w:eastAsia="宋体"/>
                <w:sz w:val="21"/>
                <w:szCs w:val="21"/>
              </w:rPr>
            </w:pPr>
            <w:r>
              <w:rPr>
                <w:sz w:val="21"/>
                <w:szCs w:val="21"/>
              </w:rPr>
              <w:t>When NW enables the deriveSSB-IndexFromCell, the UE is allowed to not transmit or receive data more than 1 symbols before and after SSB symbols to be measured. The dedicated symbol value can be indicated by NW.</w:t>
            </w:r>
          </w:p>
          <w:p>
            <w:pPr>
              <w:pStyle w:val="28"/>
              <w:numPr>
                <w:ilvl w:val="1"/>
                <w:numId w:val="4"/>
              </w:numPr>
              <w:autoSpaceDN w:val="0"/>
              <w:spacing w:after="120"/>
              <w:ind w:firstLineChars="0"/>
              <w:rPr>
                <w:rFonts w:eastAsia="宋体"/>
                <w:sz w:val="21"/>
                <w:szCs w:val="21"/>
              </w:rPr>
            </w:pPr>
            <w:r>
              <w:rPr>
                <w:sz w:val="21"/>
                <w:szCs w:val="21"/>
              </w:rPr>
              <w:t xml:space="preserve">When NW disables the deriveSSB-IndexFromCell, the UE is allowed to not transmit or receive data more than 1 symbols before and after SMTC to be measured. </w:t>
            </w:r>
            <w:r>
              <w:rPr>
                <w:sz w:val="21"/>
                <w:szCs w:val="21"/>
                <w:lang w:val="zh-CN"/>
              </w:rPr>
              <w:t>The dedicated symbol value can be indicated by NW.</w:t>
            </w:r>
          </w:p>
          <w:p>
            <w:pPr>
              <w:pStyle w:val="28"/>
              <w:numPr>
                <w:ilvl w:val="0"/>
                <w:numId w:val="4"/>
              </w:numPr>
              <w:overflowPunct w:val="0"/>
              <w:autoSpaceDE w:val="0"/>
              <w:autoSpaceDN w:val="0"/>
              <w:adjustRightInd w:val="0"/>
              <w:spacing w:after="120"/>
              <w:ind w:firstLineChars="0"/>
              <w:rPr>
                <w:rFonts w:eastAsia="宋体"/>
                <w:sz w:val="21"/>
                <w:szCs w:val="21"/>
              </w:rPr>
            </w:pPr>
            <w:r>
              <w:rPr>
                <w:rFonts w:eastAsia="宋体"/>
                <w:sz w:val="21"/>
                <w:szCs w:val="21"/>
              </w:rPr>
              <w:t>Option 3:</w:t>
            </w:r>
          </w:p>
          <w:p>
            <w:pPr>
              <w:pStyle w:val="28"/>
              <w:numPr>
                <w:ilvl w:val="1"/>
                <w:numId w:val="4"/>
              </w:numPr>
              <w:overflowPunct w:val="0"/>
              <w:autoSpaceDE w:val="0"/>
              <w:autoSpaceDN w:val="0"/>
              <w:adjustRightInd w:val="0"/>
              <w:spacing w:after="120"/>
              <w:ind w:firstLineChars="0"/>
              <w:rPr>
                <w:rFonts w:eastAsia="宋体"/>
                <w:sz w:val="21"/>
                <w:szCs w:val="21"/>
              </w:rPr>
            </w:pPr>
            <w:r>
              <w:rPr>
                <w:rFonts w:eastAsia="宋体"/>
                <w:sz w:val="21"/>
                <w:szCs w:val="21"/>
              </w:rPr>
              <w:t xml:space="preserve">Legacy scheduling restriction to measure neighbor cell is not suitable, so RAN4 needs to decide how to define scheduling restriction considering </w:t>
            </w:r>
          </w:p>
          <w:p>
            <w:pPr>
              <w:pStyle w:val="28"/>
              <w:numPr>
                <w:ilvl w:val="2"/>
                <w:numId w:val="4"/>
              </w:numPr>
              <w:overflowPunct w:val="0"/>
              <w:autoSpaceDE w:val="0"/>
              <w:autoSpaceDN w:val="0"/>
              <w:adjustRightInd w:val="0"/>
              <w:spacing w:after="120"/>
              <w:ind w:firstLineChars="0"/>
              <w:rPr>
                <w:rFonts w:eastAsia="宋体"/>
                <w:sz w:val="21"/>
                <w:szCs w:val="21"/>
              </w:rPr>
            </w:pPr>
            <w:r>
              <w:rPr>
                <w:rFonts w:eastAsia="宋体"/>
                <w:sz w:val="21"/>
                <w:szCs w:val="21"/>
              </w:rPr>
              <w:t>Alt 1: define scheduling restriction based on maximum ISD in ATG</w:t>
            </w:r>
          </w:p>
          <w:p>
            <w:pPr>
              <w:pStyle w:val="28"/>
              <w:numPr>
                <w:ilvl w:val="2"/>
                <w:numId w:val="4"/>
              </w:numPr>
              <w:overflowPunct w:val="0"/>
              <w:autoSpaceDE w:val="0"/>
              <w:autoSpaceDN w:val="0"/>
              <w:adjustRightInd w:val="0"/>
              <w:spacing w:after="120"/>
              <w:ind w:firstLineChars="0"/>
              <w:rPr>
                <w:rFonts w:hint="default"/>
                <w:vertAlign w:val="baseline"/>
                <w:lang w:val="en-US" w:eastAsia="zh-CN"/>
              </w:rPr>
            </w:pPr>
            <w:r>
              <w:rPr>
                <w:rFonts w:eastAsia="宋体"/>
                <w:sz w:val="21"/>
                <w:szCs w:val="21"/>
              </w:rPr>
              <w:t>Alt 2: define scheduling restriction based on the difference of propagation delay from serving cell and neighbor cells</w:t>
            </w:r>
          </w:p>
        </w:tc>
      </w:tr>
    </w:tbl>
    <w:p>
      <w:pPr>
        <w:pStyle w:val="4"/>
        <w:numPr>
          <w:ilvl w:val="0"/>
          <w:numId w:val="0"/>
        </w:numPr>
        <w:ind w:leftChars="0"/>
        <w:jc w:val="both"/>
        <w:rPr>
          <w:rFonts w:hint="eastAsia" w:eastAsia="宋体"/>
          <w:sz w:val="20"/>
          <w:szCs w:val="20"/>
          <w:lang w:val="en-US" w:eastAsia="zh-CN"/>
        </w:rPr>
      </w:pPr>
      <w:r>
        <w:rPr>
          <w:rFonts w:hint="eastAsia" w:eastAsia="宋体"/>
          <w:color w:val="auto"/>
          <w:sz w:val="20"/>
          <w:szCs w:val="20"/>
          <w:highlight w:val="none"/>
          <w:lang w:val="en-US" w:eastAsia="zh-CN"/>
        </w:rPr>
        <w:t xml:space="preserve">Current scheduling restriction depends on whether the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is enabled or not. If enabled, then accurate scheduling restriction would be applied, only the SSB symbols and 1 symbol before and after would be restricted; Otherwise, the whole SMTC would be restricted.  </w:t>
      </w:r>
    </w:p>
    <w:p>
      <w:pPr>
        <w:pStyle w:val="4"/>
        <w:numPr>
          <w:ilvl w:val="0"/>
          <w:numId w:val="0"/>
        </w:numPr>
        <w:ind w:leftChars="0"/>
        <w:jc w:val="both"/>
        <w:rPr>
          <w:rFonts w:hint="eastAsia" w:eastAsia="宋体"/>
          <w:sz w:val="20"/>
          <w:szCs w:val="20"/>
          <w:lang w:val="en-US" w:eastAsia="zh-CN"/>
        </w:rPr>
      </w:pPr>
      <w:r>
        <w:rPr>
          <w:rFonts w:hint="eastAsia" w:eastAsia="宋体"/>
          <w:sz w:val="20"/>
          <w:szCs w:val="20"/>
          <w:lang w:val="en-US" w:eastAsia="zh-CN"/>
        </w:rPr>
        <w:t xml:space="preserve">Regarding to ATG, whether additional symbol(s) should be restricted besides the 1 symbol before and after SSB under the case of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is enabled, which depends on the propagation delay of DL signal. </w:t>
      </w:r>
      <w:r>
        <w:rPr>
          <w:rFonts w:hint="eastAsia" w:eastAsia="宋体"/>
          <w:sz w:val="20"/>
          <w:szCs w:val="20"/>
          <w:highlight w:val="none"/>
          <w:lang w:val="en-US" w:eastAsia="zh-CN"/>
        </w:rPr>
        <w:t>As analysis in our another document [2], the maximum distance between BS and the CPE is up to 250 km, so the propagation delay is about 833 us, which is much larger than the symbol length for FR1.</w:t>
      </w:r>
      <w:r>
        <w:rPr>
          <w:rFonts w:hint="eastAsia" w:eastAsia="宋体"/>
          <w:sz w:val="20"/>
          <w:szCs w:val="20"/>
          <w:lang w:val="en-US" w:eastAsia="zh-CN"/>
        </w:rPr>
        <w:t xml:space="preserve"> However, whether and when to enable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which depends on the NW decision, the default application for FR1 TDD and FR2 has been removed for ATG. So if the NW believe the propagation delay difference between the serving cell and neighbour cell are large, then the NW would not enable </w:t>
      </w:r>
      <w:r>
        <w:rPr>
          <w:rFonts w:eastAsia="宋体"/>
          <w:i/>
          <w:iCs/>
          <w:sz w:val="20"/>
          <w:szCs w:val="20"/>
        </w:rPr>
        <w:t>deriveSSB-IndexFromCell</w:t>
      </w:r>
      <w:r>
        <w:rPr>
          <w:rFonts w:hint="eastAsia" w:eastAsia="宋体"/>
          <w:i/>
          <w:iCs/>
          <w:sz w:val="20"/>
          <w:szCs w:val="20"/>
          <w:lang w:val="en-US" w:eastAsia="zh-CN"/>
        </w:rPr>
        <w:t>/</w:t>
      </w:r>
      <w:r>
        <w:rPr>
          <w:rFonts w:eastAsia="宋体"/>
          <w:i/>
          <w:iCs/>
          <w:sz w:val="20"/>
          <w:szCs w:val="20"/>
        </w:rPr>
        <w:t>deriveSSB-IndexFromCell</w:t>
      </w:r>
      <w:r>
        <w:rPr>
          <w:rFonts w:hint="eastAsia" w:eastAsia="宋体"/>
          <w:i/>
          <w:iCs/>
          <w:sz w:val="20"/>
          <w:szCs w:val="20"/>
          <w:lang w:val="en-US" w:eastAsia="zh-CN"/>
        </w:rPr>
        <w:t>-inter</w:t>
      </w:r>
      <w:r>
        <w:rPr>
          <w:rFonts w:hint="eastAsia" w:eastAsia="宋体"/>
          <w:sz w:val="20"/>
          <w:szCs w:val="20"/>
          <w:lang w:val="en-US" w:eastAsia="zh-CN"/>
        </w:rPr>
        <w:t xml:space="preserve">. So whether need to expend the time domain range of scheduling restriction, still needs further discuss. </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No need to expend the time domain range of scheduling restriction, whether and when to enable deriveSSB-IndexFromCell/deriveSSB-IndexFromCell-inter, totally depends on NW.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measurement requirements for ATG system</w:t>
      </w:r>
      <w:r>
        <w:rPr>
          <w:rFonts w:eastAsia="宋体"/>
          <w:bCs/>
          <w:color w:val="auto"/>
          <w:sz w:val="20"/>
          <w:szCs w:val="20"/>
          <w:lang w:val="en-GB" w:eastAsia="zh-CN"/>
        </w:rPr>
        <w:t>:</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1: Based on some regulation demand and airline offering, the in-flight WiFi currently is activated when the aircraft travels at the altitudes more than 3048 meters in practice. </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Considering in practice the in-flight WiFi is operated from 3048 meters upwards, the ATG CPE works when the altitude is not lower than 3000m. Therefore, no need to introduce any new measurement mechanism such as height-dependent considerations.</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need to consider any RRM as</w:t>
      </w:r>
      <w:bookmarkStart w:id="2" w:name="_GoBack"/>
      <w:bookmarkEnd w:id="2"/>
      <w:r>
        <w:rPr>
          <w:rFonts w:hint="eastAsia" w:eastAsia="宋体" w:cs="Times New Roman"/>
          <w:b/>
          <w:bCs/>
          <w:color w:val="auto"/>
          <w:sz w:val="20"/>
          <w:szCs w:val="20"/>
          <w:highlight w:val="none"/>
          <w:lang w:val="en-US" w:eastAsia="zh-CN" w:bidi="ar-SA"/>
        </w:rPr>
        <w:t>pect lead by the directional antenna.</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No need to expend the time domain range of scheduling restriction, whether and when to enable deriveSSB-IndexFromCell/deriveSSB-IndexFromCell-inter, totally depends on NW.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color w:val="auto"/>
          <w:lang w:val="en-US" w:eastAsia="zh-CN"/>
        </w:rPr>
      </w:pPr>
      <w:r>
        <w:rPr>
          <w:rFonts w:hint="eastAsia"/>
          <w:color w:val="auto"/>
          <w:lang w:val="en-US" w:eastAsia="zh-CN"/>
        </w:rPr>
        <w:t xml:space="preserve">R4-2306344 </w:t>
      </w:r>
      <w:r>
        <w:rPr>
          <w:rFonts w:hint="default"/>
          <w:color w:val="auto"/>
          <w:lang w:val="en-US" w:eastAsia="zh-CN"/>
        </w:rPr>
        <w:t>“</w:t>
      </w:r>
      <w:bookmarkStart w:id="1" w:name="_Hlk41145953"/>
      <w:r>
        <w:rPr>
          <w:rFonts w:hint="default"/>
          <w:color w:val="auto"/>
          <w:lang w:val="en-US" w:eastAsia="zh-CN"/>
        </w:rPr>
        <w:t>WF on NR ATG RRM</w:t>
      </w:r>
      <w:bookmarkEnd w:id="1"/>
      <w:r>
        <w:rPr>
          <w:rFonts w:hint="default"/>
          <w:color w:val="auto"/>
          <w:lang w:val="en-US" w:eastAsia="zh-CN"/>
        </w:rPr>
        <w:t xml:space="preserve"> requirements”</w:t>
      </w:r>
      <w:r>
        <w:rPr>
          <w:rFonts w:hint="eastAsia"/>
          <w:color w:val="auto"/>
          <w:lang w:val="en-US" w:eastAsia="zh-CN"/>
        </w:rPr>
        <w:t>, CMCC</w:t>
      </w:r>
    </w:p>
    <w:p>
      <w:pPr>
        <w:pStyle w:val="9"/>
        <w:numPr>
          <w:ilvl w:val="0"/>
          <w:numId w:val="7"/>
        </w:numPr>
        <w:ind w:left="0" w:leftChars="0" w:firstLine="0" w:firstLineChars="0"/>
        <w:rPr>
          <w:rFonts w:hint="default"/>
          <w:color w:val="auto"/>
          <w:lang w:val="en-US" w:eastAsia="zh-CN"/>
        </w:rPr>
      </w:pPr>
      <w:r>
        <w:rPr>
          <w:rFonts w:hint="eastAsia"/>
          <w:color w:val="auto"/>
          <w:lang w:val="en-US" w:eastAsia="zh-CN"/>
        </w:rPr>
        <w:t xml:space="preserve">R4-2306243 </w:t>
      </w:r>
      <w:r>
        <w:rPr>
          <w:rFonts w:hint="default"/>
          <w:color w:val="auto"/>
          <w:lang w:val="en-US" w:eastAsia="zh-CN"/>
        </w:rPr>
        <w:t>“Topic summary for [106</w:t>
      </w:r>
      <w:r>
        <w:rPr>
          <w:rFonts w:hint="eastAsia"/>
          <w:color w:val="auto"/>
          <w:lang w:val="en-US" w:eastAsia="zh-CN"/>
        </w:rPr>
        <w:t>bis</w:t>
      </w:r>
      <w:r>
        <w:rPr>
          <w:rFonts w:hint="default"/>
          <w:color w:val="auto"/>
          <w:lang w:val="en-US" w:eastAsia="zh-CN"/>
        </w:rPr>
        <w:t>][21</w:t>
      </w:r>
      <w:r>
        <w:rPr>
          <w:rFonts w:hint="eastAsia"/>
          <w:color w:val="auto"/>
          <w:lang w:val="en-US" w:eastAsia="zh-CN"/>
        </w:rPr>
        <w:t>2</w:t>
      </w:r>
      <w:r>
        <w:rPr>
          <w:rFonts w:hint="default"/>
          <w:color w:val="auto"/>
          <w:lang w:val="en-US" w:eastAsia="zh-CN"/>
        </w:rPr>
        <w:t>] NR_ATG”</w:t>
      </w:r>
      <w:r>
        <w:rPr>
          <w:rFonts w:hint="eastAsia"/>
          <w:color w:val="auto"/>
          <w:lang w:val="en-US" w:eastAsia="zh-CN"/>
        </w:rPr>
        <w:t>, CMCC</w:t>
      </w:r>
    </w:p>
    <w:p>
      <w:pPr>
        <w:pStyle w:val="9"/>
        <w:numPr>
          <w:ilvl w:val="0"/>
          <w:numId w:val="7"/>
        </w:numPr>
        <w:ind w:left="0" w:leftChars="0" w:firstLine="0" w:firstLineChars="0"/>
        <w:rPr>
          <w:rFonts w:hint="default"/>
          <w:color w:val="auto"/>
          <w:lang w:val="en-US" w:eastAsia="zh-CN"/>
        </w:rPr>
      </w:pPr>
      <w:r>
        <w:rPr>
          <w:rFonts w:hint="eastAsia"/>
          <w:color w:val="auto"/>
          <w:lang w:val="en-US" w:eastAsia="zh-CN"/>
        </w:rPr>
        <w:t xml:space="preserve">R4-2216399 </w:t>
      </w:r>
      <w:r>
        <w:rPr>
          <w:rFonts w:hint="default"/>
          <w:color w:val="auto"/>
          <w:lang w:val="en-US" w:eastAsia="zh-CN"/>
        </w:rPr>
        <w:t>“</w:t>
      </w:r>
      <w:r>
        <w:rPr>
          <w:sz w:val="22"/>
        </w:rPr>
        <w:t>ATG co-existence simulation parameters</w:t>
      </w:r>
      <w:r>
        <w:rPr>
          <w:rFonts w:hint="default"/>
          <w:color w:val="auto"/>
          <w:lang w:val="en-US" w:eastAsia="zh-CN"/>
        </w:rPr>
        <w:t>”</w:t>
      </w:r>
      <w:r>
        <w:rPr>
          <w:rFonts w:hint="eastAsia"/>
          <w:color w:val="auto"/>
          <w:lang w:val="en-US" w:eastAsia="zh-CN"/>
        </w:rPr>
        <w:t>, Ericsson</w:t>
      </w:r>
    </w:p>
    <w:p>
      <w:pPr>
        <w:pStyle w:val="9"/>
        <w:numPr>
          <w:ilvl w:val="0"/>
          <w:numId w:val="7"/>
        </w:numPr>
        <w:ind w:left="0" w:leftChars="0" w:firstLine="0" w:firstLineChars="0"/>
        <w:rPr>
          <w:rFonts w:hint="default"/>
          <w:color w:val="auto"/>
          <w:lang w:val="en-US" w:eastAsia="zh-CN"/>
        </w:rPr>
      </w:pPr>
      <w:r>
        <w:rPr>
          <w:rFonts w:hint="eastAsia"/>
          <w:color w:val="auto"/>
          <w:lang w:val="en-US" w:eastAsia="zh-CN"/>
        </w:rPr>
        <w:t>AC 91.21-1D FAA Advisory Circular Use of Portable Electronic Devices Aboard Aircraft</w:t>
      </w:r>
    </w:p>
    <w:p>
      <w:pPr>
        <w:pStyle w:val="9"/>
        <w:numPr>
          <w:ilvl w:val="0"/>
          <w:numId w:val="0"/>
        </w:numPr>
        <w:ind w:leftChars="0"/>
        <w:rPr>
          <w:rFonts w:hint="default" w:eastAsia="宋体"/>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9AD97BC7"/>
    <w:multiLevelType w:val="singleLevel"/>
    <w:tmpl w:val="9AD97BC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2"/>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000747"/>
    <w:rsid w:val="05317828"/>
    <w:rsid w:val="05477E90"/>
    <w:rsid w:val="05BB5AB9"/>
    <w:rsid w:val="05C42923"/>
    <w:rsid w:val="06226EA6"/>
    <w:rsid w:val="065C04B2"/>
    <w:rsid w:val="06963BA6"/>
    <w:rsid w:val="07CB1C61"/>
    <w:rsid w:val="07CD3CDD"/>
    <w:rsid w:val="07F64CE8"/>
    <w:rsid w:val="083E6EA0"/>
    <w:rsid w:val="084E5514"/>
    <w:rsid w:val="0855671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DEE745F"/>
    <w:rsid w:val="0DFD7458"/>
    <w:rsid w:val="0E104B55"/>
    <w:rsid w:val="0FAD3D1E"/>
    <w:rsid w:val="102263EF"/>
    <w:rsid w:val="10997F43"/>
    <w:rsid w:val="10DE7BAE"/>
    <w:rsid w:val="120774A3"/>
    <w:rsid w:val="12577549"/>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AF55E3"/>
    <w:rsid w:val="18B077E2"/>
    <w:rsid w:val="18B1519A"/>
    <w:rsid w:val="18CD0507"/>
    <w:rsid w:val="18F36BA5"/>
    <w:rsid w:val="193B6DE3"/>
    <w:rsid w:val="195D7D48"/>
    <w:rsid w:val="1AD01A1B"/>
    <w:rsid w:val="1B61065A"/>
    <w:rsid w:val="1B8505B7"/>
    <w:rsid w:val="1BBF3927"/>
    <w:rsid w:val="1C177B08"/>
    <w:rsid w:val="1C9001C6"/>
    <w:rsid w:val="1CBA2101"/>
    <w:rsid w:val="1D0573D7"/>
    <w:rsid w:val="1D153DC4"/>
    <w:rsid w:val="1D223E0B"/>
    <w:rsid w:val="1D317C9F"/>
    <w:rsid w:val="1E132F88"/>
    <w:rsid w:val="1E2867E9"/>
    <w:rsid w:val="1E853F6F"/>
    <w:rsid w:val="1E9C7BCC"/>
    <w:rsid w:val="1ECC1E3C"/>
    <w:rsid w:val="203504C5"/>
    <w:rsid w:val="208364FC"/>
    <w:rsid w:val="208953F9"/>
    <w:rsid w:val="21014C39"/>
    <w:rsid w:val="21244EB1"/>
    <w:rsid w:val="213964D8"/>
    <w:rsid w:val="21595D04"/>
    <w:rsid w:val="21F13629"/>
    <w:rsid w:val="223236B6"/>
    <w:rsid w:val="2255462C"/>
    <w:rsid w:val="22CD49DC"/>
    <w:rsid w:val="2305377E"/>
    <w:rsid w:val="237674B3"/>
    <w:rsid w:val="238230CD"/>
    <w:rsid w:val="23901822"/>
    <w:rsid w:val="24122135"/>
    <w:rsid w:val="24D4257E"/>
    <w:rsid w:val="2572202B"/>
    <w:rsid w:val="2605683C"/>
    <w:rsid w:val="26BB1419"/>
    <w:rsid w:val="27A2088A"/>
    <w:rsid w:val="27B748AA"/>
    <w:rsid w:val="27CB4CB9"/>
    <w:rsid w:val="281C2F58"/>
    <w:rsid w:val="28DF773E"/>
    <w:rsid w:val="29642C4B"/>
    <w:rsid w:val="2A34628C"/>
    <w:rsid w:val="2A724D05"/>
    <w:rsid w:val="2A7E505C"/>
    <w:rsid w:val="2AC85686"/>
    <w:rsid w:val="2AD04B5F"/>
    <w:rsid w:val="2BC05B2C"/>
    <w:rsid w:val="2BD617C5"/>
    <w:rsid w:val="2C112837"/>
    <w:rsid w:val="2C9B1252"/>
    <w:rsid w:val="2C9C2786"/>
    <w:rsid w:val="2CC13667"/>
    <w:rsid w:val="2E014790"/>
    <w:rsid w:val="2E3F30C4"/>
    <w:rsid w:val="2EE77680"/>
    <w:rsid w:val="2F2F0FC8"/>
    <w:rsid w:val="2FA70460"/>
    <w:rsid w:val="30057FE3"/>
    <w:rsid w:val="301C6BB6"/>
    <w:rsid w:val="311A1818"/>
    <w:rsid w:val="31876C6F"/>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3DF2306A"/>
    <w:rsid w:val="3FEC6FC4"/>
    <w:rsid w:val="405F175E"/>
    <w:rsid w:val="40C765F3"/>
    <w:rsid w:val="42AF3D95"/>
    <w:rsid w:val="42C9357F"/>
    <w:rsid w:val="42F869D2"/>
    <w:rsid w:val="43186073"/>
    <w:rsid w:val="43553536"/>
    <w:rsid w:val="44972678"/>
    <w:rsid w:val="451632B9"/>
    <w:rsid w:val="45906394"/>
    <w:rsid w:val="45C245CB"/>
    <w:rsid w:val="45F60A50"/>
    <w:rsid w:val="46142D0C"/>
    <w:rsid w:val="46263A53"/>
    <w:rsid w:val="46970A81"/>
    <w:rsid w:val="46B036BF"/>
    <w:rsid w:val="46CC320F"/>
    <w:rsid w:val="47282363"/>
    <w:rsid w:val="47810C98"/>
    <w:rsid w:val="47924F0A"/>
    <w:rsid w:val="48EE54ED"/>
    <w:rsid w:val="48F407FD"/>
    <w:rsid w:val="49DC4EAC"/>
    <w:rsid w:val="49E55BC5"/>
    <w:rsid w:val="4A5D0BB5"/>
    <w:rsid w:val="4A784B9A"/>
    <w:rsid w:val="4B600E77"/>
    <w:rsid w:val="4B8B4475"/>
    <w:rsid w:val="4B8F684D"/>
    <w:rsid w:val="4BF02011"/>
    <w:rsid w:val="4C1C63D6"/>
    <w:rsid w:val="4C2D52ED"/>
    <w:rsid w:val="4C4F7C59"/>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0C7CD1"/>
    <w:rsid w:val="5C924E81"/>
    <w:rsid w:val="5E2864D0"/>
    <w:rsid w:val="5E494511"/>
    <w:rsid w:val="5EB44FC0"/>
    <w:rsid w:val="5FBA395F"/>
    <w:rsid w:val="60094E5C"/>
    <w:rsid w:val="606F38F4"/>
    <w:rsid w:val="60EC2CBA"/>
    <w:rsid w:val="61CC2D28"/>
    <w:rsid w:val="623E10C1"/>
    <w:rsid w:val="635902CD"/>
    <w:rsid w:val="63C03536"/>
    <w:rsid w:val="64706BBE"/>
    <w:rsid w:val="64F2095B"/>
    <w:rsid w:val="65A16A49"/>
    <w:rsid w:val="67A858DB"/>
    <w:rsid w:val="67FE4166"/>
    <w:rsid w:val="68C401C3"/>
    <w:rsid w:val="695848C3"/>
    <w:rsid w:val="69A833BD"/>
    <w:rsid w:val="69AF6305"/>
    <w:rsid w:val="69EF6835"/>
    <w:rsid w:val="6D566F0F"/>
    <w:rsid w:val="6D836F72"/>
    <w:rsid w:val="6D8D1B93"/>
    <w:rsid w:val="6DDE3DAF"/>
    <w:rsid w:val="6DE76B3B"/>
    <w:rsid w:val="6E3241BE"/>
    <w:rsid w:val="6EB97A9D"/>
    <w:rsid w:val="6EF10A90"/>
    <w:rsid w:val="6EFC7DED"/>
    <w:rsid w:val="6F2309BE"/>
    <w:rsid w:val="6F2A7FBF"/>
    <w:rsid w:val="6FAE5A48"/>
    <w:rsid w:val="6FFF1868"/>
    <w:rsid w:val="715F4C2D"/>
    <w:rsid w:val="71DD657B"/>
    <w:rsid w:val="722F78FB"/>
    <w:rsid w:val="723C2F8E"/>
    <w:rsid w:val="723D67C5"/>
    <w:rsid w:val="726A5F44"/>
    <w:rsid w:val="72BF60CA"/>
    <w:rsid w:val="72F41282"/>
    <w:rsid w:val="73020973"/>
    <w:rsid w:val="733D0D32"/>
    <w:rsid w:val="73B76769"/>
    <w:rsid w:val="73D411F1"/>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F5236"/>
    <w:rsid w:val="7A9367CB"/>
    <w:rsid w:val="7AF22571"/>
    <w:rsid w:val="7B0720CF"/>
    <w:rsid w:val="7B4C0E47"/>
    <w:rsid w:val="7B69224B"/>
    <w:rsid w:val="7BE80F25"/>
    <w:rsid w:val="7C1C35A7"/>
    <w:rsid w:val="7C45431D"/>
    <w:rsid w:val="7D1566A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2023-05-15T12:25:39Z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